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D" w:rsidRDefault="00F67E3D" w:rsidP="00897C24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F67E3D" w:rsidRPr="00F67E3D" w:rsidRDefault="00F67E3D" w:rsidP="00F67E3D">
      <w:pPr>
        <w:ind w:right="-810"/>
        <w:rPr>
          <w:rFonts w:ascii="Papyrus" w:hAnsi="Papyru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E0440F" wp14:editId="549FD26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9525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68" y="21327"/>
                <wp:lineTo x="211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256D8C3" wp14:editId="28C67E8B">
            <wp:simplePos x="0" y="0"/>
            <wp:positionH relativeFrom="column">
              <wp:posOffset>-571500</wp:posOffset>
            </wp:positionH>
            <wp:positionV relativeFrom="paragraph">
              <wp:posOffset>228600</wp:posOffset>
            </wp:positionV>
            <wp:extent cx="1533525" cy="1133475"/>
            <wp:effectExtent l="0" t="0" r="9525" b="9525"/>
            <wp:wrapTight wrapText="bothSides">
              <wp:wrapPolygon edited="0">
                <wp:start x="2952" y="0"/>
                <wp:lineTo x="1610" y="2178"/>
                <wp:lineTo x="537" y="4356"/>
                <wp:lineTo x="0" y="11617"/>
                <wp:lineTo x="268" y="20692"/>
                <wp:lineTo x="3220" y="21418"/>
                <wp:lineTo x="13416" y="21418"/>
                <wp:lineTo x="18246" y="21418"/>
                <wp:lineTo x="19051" y="21418"/>
                <wp:lineTo x="21466" y="18514"/>
                <wp:lineTo x="21466" y="11254"/>
                <wp:lineTo x="14489" y="5445"/>
                <wp:lineTo x="11806" y="1452"/>
                <wp:lineTo x="10465" y="0"/>
                <wp:lineTo x="295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 w:rsidRPr="00F67E3D">
        <w:rPr>
          <w:rFonts w:ascii="Papyrus" w:hAnsi="Papyrus"/>
          <w:sz w:val="28"/>
          <w:szCs w:val="28"/>
        </w:rPr>
        <w:t xml:space="preserve">           </w:t>
      </w:r>
      <w:r>
        <w:rPr>
          <w:rFonts w:ascii="Papyrus" w:hAnsi="Papyrus"/>
          <w:sz w:val="28"/>
          <w:szCs w:val="28"/>
        </w:rPr>
        <w:t xml:space="preserve">     </w:t>
      </w:r>
      <w:r w:rsidRPr="00F67E3D">
        <w:rPr>
          <w:rFonts w:ascii="Papyrus" w:hAnsi="Papyrus"/>
          <w:sz w:val="28"/>
          <w:szCs w:val="28"/>
        </w:rPr>
        <w:t xml:space="preserve"> Name:</w:t>
      </w:r>
    </w:p>
    <w:p w:rsidR="00F67E3D" w:rsidRDefault="00F67E3D" w:rsidP="00F67E3D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                      ~ Gospel of John ~</w:t>
      </w:r>
    </w:p>
    <w:p w:rsidR="00F67E3D" w:rsidRDefault="00F67E3D" w:rsidP="00F67E3D">
      <w:pPr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  <w:proofErr w:type="spellStart"/>
      <w:proofErr w:type="gramStart"/>
      <w:r>
        <w:rPr>
          <w:rFonts w:ascii="Papyrus" w:hAnsi="Papyrus"/>
          <w:b/>
          <w:sz w:val="28"/>
          <w:szCs w:val="28"/>
        </w:rPr>
        <w:t>ch</w:t>
      </w:r>
      <w:proofErr w:type="spellEnd"/>
      <w:proofErr w:type="gramEnd"/>
      <w:r>
        <w:rPr>
          <w:rFonts w:ascii="Papyrus" w:hAnsi="Papyrus"/>
          <w:b/>
          <w:sz w:val="28"/>
          <w:szCs w:val="28"/>
        </w:rPr>
        <w:t xml:space="preserve"> 1-11</w:t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</w:p>
    <w:p w:rsidR="00F67E3D" w:rsidRDefault="00F67E3D" w:rsidP="00F67E3D">
      <w:pPr>
        <w:ind w:left="720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                   Life of Christ Study Guide</w:t>
      </w:r>
      <w:r>
        <w:rPr>
          <w:rFonts w:ascii="Papyrus" w:hAnsi="Papyrus"/>
          <w:b/>
          <w:sz w:val="28"/>
          <w:szCs w:val="28"/>
        </w:rPr>
        <w:tab/>
      </w:r>
      <w:r>
        <w:rPr>
          <w:rFonts w:ascii="Papyrus" w:hAnsi="Papyrus"/>
          <w:b/>
          <w:sz w:val="28"/>
          <w:szCs w:val="28"/>
        </w:rPr>
        <w:tab/>
      </w:r>
    </w:p>
    <w:p w:rsidR="00F67E3D" w:rsidRDefault="00F67E3D" w:rsidP="00F67E3D">
      <w:pPr>
        <w:autoSpaceDE w:val="0"/>
        <w:autoSpaceDN w:val="0"/>
        <w:adjustRightInd w:val="0"/>
        <w:rPr>
          <w:rFonts w:ascii="Papyrus" w:hAnsi="Papyrus" w:cs="Arial"/>
          <w:sz w:val="18"/>
          <w:szCs w:val="18"/>
        </w:rPr>
      </w:pPr>
      <w:r>
        <w:rPr>
          <w:rFonts w:ascii="Ringbearer" w:hAnsi="Ringbearer" w:cs="Arial"/>
          <w:sz w:val="28"/>
          <w:szCs w:val="28"/>
        </w:rPr>
        <w:t xml:space="preserve">     </w:t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  </w:t>
      </w:r>
      <w:r>
        <w:rPr>
          <w:rFonts w:ascii="Papyrus" w:hAnsi="Papyrus" w:cs="Arial"/>
          <w:sz w:val="18"/>
          <w:szCs w:val="18"/>
        </w:rPr>
        <w:t>9</w:t>
      </w:r>
      <w:r>
        <w:rPr>
          <w:rFonts w:ascii="Papyrus" w:hAnsi="Papyrus" w:cs="Arial"/>
          <w:sz w:val="18"/>
          <w:szCs w:val="18"/>
          <w:vertAlign w:val="superscript"/>
        </w:rPr>
        <w:t>th</w:t>
      </w:r>
      <w:r>
        <w:rPr>
          <w:rFonts w:ascii="Papyrus" w:hAnsi="Papyrus" w:cs="Arial"/>
          <w:sz w:val="18"/>
          <w:szCs w:val="18"/>
        </w:rPr>
        <w:t xml:space="preserve"> grade Bible </w:t>
      </w:r>
    </w:p>
    <w:p w:rsidR="00F67E3D" w:rsidRDefault="00F67E3D" w:rsidP="00F67E3D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F67E3D" w:rsidRDefault="00F67E3D" w:rsidP="00F67E3D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F67E3D" w:rsidRPr="00AD1D66" w:rsidRDefault="00F67E3D" w:rsidP="00F67E3D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Part I: the Gospel of John: People &amp; Places MATCHING</w:t>
      </w:r>
    </w:p>
    <w:p w:rsidR="00F67E3D" w:rsidRDefault="00F67E3D" w:rsidP="00897C24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F67E3D" w:rsidRPr="00396578" w:rsidRDefault="00F67E3D" w:rsidP="00F67E3D">
      <w:r>
        <w:t xml:space="preserve">Jesus </w:t>
      </w:r>
      <w:r>
        <w:tab/>
      </w:r>
      <w:r>
        <w:tab/>
      </w:r>
      <w:r>
        <w:tab/>
      </w:r>
      <w:r w:rsidRPr="00396578">
        <w:tab/>
        <w:t>John the Baptist</w:t>
      </w:r>
      <w:r>
        <w:tab/>
      </w:r>
      <w:r w:rsidRPr="00396578">
        <w:tab/>
      </w:r>
      <w:r w:rsidRPr="00396578">
        <w:tab/>
      </w:r>
      <w:r>
        <w:t xml:space="preserve">Jerusalem </w:t>
      </w:r>
    </w:p>
    <w:p w:rsidR="00F67E3D" w:rsidRPr="00396578" w:rsidRDefault="00F67E3D" w:rsidP="00F67E3D">
      <w:pPr>
        <w:rPr>
          <w:sz w:val="22"/>
        </w:rPr>
      </w:pPr>
      <w:r>
        <w:t>Nicodemus</w:t>
      </w:r>
      <w:r w:rsidRPr="00396578">
        <w:t xml:space="preserve"> </w:t>
      </w:r>
      <w:r w:rsidRPr="00396578">
        <w:tab/>
      </w:r>
      <w:r w:rsidRPr="00396578">
        <w:tab/>
      </w:r>
      <w:r w:rsidRPr="00396578">
        <w:tab/>
        <w:t>Mary</w:t>
      </w:r>
      <w:r>
        <w:t xml:space="preserve"> (mother of Jesus)</w:t>
      </w:r>
      <w:r w:rsidRPr="00396578">
        <w:tab/>
      </w:r>
      <w:r w:rsidRPr="00396578">
        <w:tab/>
      </w:r>
      <w:r>
        <w:t>Samaria</w:t>
      </w:r>
      <w:r>
        <w:tab/>
      </w:r>
    </w:p>
    <w:p w:rsidR="00F67E3D" w:rsidRPr="00396578" w:rsidRDefault="00F67E3D" w:rsidP="00F67E3D">
      <w:r>
        <w:t>John (disciple/author)</w:t>
      </w:r>
      <w:r w:rsidRPr="00396578">
        <w:tab/>
      </w:r>
      <w:r w:rsidRPr="00396578">
        <w:tab/>
      </w:r>
      <w:r>
        <w:t>the Prophet</w:t>
      </w:r>
      <w:r w:rsidRPr="00396578">
        <w:tab/>
      </w:r>
      <w:r w:rsidRPr="00396578">
        <w:tab/>
      </w:r>
      <w:r w:rsidRPr="00396578">
        <w:tab/>
      </w:r>
      <w:r>
        <w:tab/>
        <w:t xml:space="preserve">Mt. </w:t>
      </w:r>
      <w:proofErr w:type="spellStart"/>
      <w:r>
        <w:t>Gerazim</w:t>
      </w:r>
      <w:proofErr w:type="spellEnd"/>
    </w:p>
    <w:p w:rsidR="0018435D" w:rsidRDefault="00F67E3D" w:rsidP="00F67E3D">
      <w:pPr>
        <w:rPr>
          <w:sz w:val="22"/>
        </w:rPr>
      </w:pPr>
      <w:r>
        <w:rPr>
          <w:sz w:val="22"/>
        </w:rPr>
        <w:t>Woman at the well</w:t>
      </w:r>
      <w:r w:rsidRPr="00396578">
        <w:rPr>
          <w:sz w:val="22"/>
        </w:rPr>
        <w:tab/>
      </w:r>
      <w:r w:rsidRPr="00396578">
        <w:rPr>
          <w:sz w:val="22"/>
        </w:rPr>
        <w:tab/>
      </w:r>
      <w:r>
        <w:t>Moses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Cana of Galilee</w:t>
      </w:r>
    </w:p>
    <w:p w:rsidR="00F67E3D" w:rsidRPr="00F67E3D" w:rsidRDefault="00F67E3D" w:rsidP="00F67E3D">
      <w:pPr>
        <w:rPr>
          <w:sz w:val="22"/>
        </w:rPr>
      </w:pPr>
      <w:r>
        <w:rPr>
          <w:sz w:val="22"/>
        </w:rPr>
        <w:t xml:space="preserve">Nobleman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Cripple w/ 38 yr. condition (beside pool)</w:t>
      </w:r>
      <w:r w:rsidR="0018435D">
        <w:rPr>
          <w:sz w:val="22"/>
        </w:rPr>
        <w:t xml:space="preserve">     Peter</w:t>
      </w:r>
    </w:p>
    <w:p w:rsidR="00F67E3D" w:rsidRDefault="0018435D" w:rsidP="00897C24">
      <w:pPr>
        <w:autoSpaceDE w:val="0"/>
        <w:autoSpaceDN w:val="0"/>
        <w:adjustRightInd w:val="0"/>
        <w:rPr>
          <w:sz w:val="22"/>
          <w:szCs w:val="20"/>
        </w:rPr>
      </w:pPr>
      <w:r w:rsidRPr="0018435D">
        <w:rPr>
          <w:sz w:val="22"/>
          <w:szCs w:val="20"/>
        </w:rPr>
        <w:t>Pool of Siloam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Bread of Life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Andrew</w:t>
      </w:r>
    </w:p>
    <w:p w:rsidR="0018435D" w:rsidRDefault="0018435D" w:rsidP="00897C24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Lazarus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Judas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Nathaniel</w:t>
      </w:r>
    </w:p>
    <w:p w:rsidR="0018435D" w:rsidRPr="0018435D" w:rsidRDefault="0018435D" w:rsidP="00897C24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Martha</w:t>
      </w:r>
    </w:p>
    <w:p w:rsidR="00F67E3D" w:rsidRDefault="00F67E3D" w:rsidP="00897C24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897C24" w:rsidRPr="00AD1D66" w:rsidRDefault="00897C24" w:rsidP="00897C24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Part II: the Gospel of John; </w:t>
      </w:r>
      <w:r w:rsidRPr="00396578">
        <w:rPr>
          <w:rFonts w:ascii="Ringbearer" w:hAnsi="Ringbearer"/>
          <w:sz w:val="22"/>
        </w:rPr>
        <w:t>“Who Said It?”</w:t>
      </w:r>
    </w:p>
    <w:p w:rsidR="00897C24" w:rsidRPr="00396578" w:rsidRDefault="00897C24" w:rsidP="00897C24">
      <w:pPr>
        <w:pStyle w:val="ListParagraph"/>
        <w:widowControl w:val="0"/>
        <w:autoSpaceDE w:val="0"/>
        <w:autoSpaceDN w:val="0"/>
        <w:adjustRightInd w:val="0"/>
        <w:spacing w:before="397" w:line="284" w:lineRule="atLeast"/>
        <w:ind w:left="0" w:right="-360"/>
        <w:rPr>
          <w:szCs w:val="16"/>
        </w:rPr>
      </w:pPr>
      <w:r>
        <w:t>You will have to m</w:t>
      </w:r>
      <w:r w:rsidRPr="00396578">
        <w:t>atch the following persons to their quote(s) from the Gospel of</w:t>
      </w:r>
      <w:r>
        <w:t xml:space="preserve"> John. </w:t>
      </w:r>
      <w:r w:rsidRPr="00396578">
        <w:t>When the passage involves more than one person,</w:t>
      </w:r>
      <w:r>
        <w:t xml:space="preserve"> you will</w:t>
      </w:r>
      <w:r w:rsidRPr="00396578">
        <w:t xml:space="preserve"> </w:t>
      </w:r>
      <w:r>
        <w:t>focus on</w:t>
      </w:r>
      <w:r w:rsidRPr="00396578">
        <w:t xml:space="preserve"> the speaker of the </w:t>
      </w:r>
      <w:r w:rsidRPr="00897C24">
        <w:rPr>
          <w:b/>
        </w:rPr>
        <w:t>bold-faced</w:t>
      </w:r>
      <w:r w:rsidRPr="00396578">
        <w:t xml:space="preserve"> portion. </w:t>
      </w:r>
      <w:r>
        <w:t>I would suggest perusing the gospel in order to study--but the best preparation was merely paying close attention while we read and discussed the gospel in class.</w:t>
      </w:r>
    </w:p>
    <w:p w:rsidR="00897C24" w:rsidRPr="002B5EA2" w:rsidRDefault="00897C24" w:rsidP="00897C24">
      <w:pPr>
        <w:pStyle w:val="ListParagraph"/>
        <w:widowControl w:val="0"/>
        <w:autoSpaceDE w:val="0"/>
        <w:autoSpaceDN w:val="0"/>
        <w:adjustRightInd w:val="0"/>
        <w:spacing w:before="397" w:line="284" w:lineRule="atLeast"/>
        <w:ind w:right="-360"/>
        <w:rPr>
          <w:rFonts w:ascii="Papyrus" w:hAnsi="Papyrus"/>
        </w:rPr>
      </w:pPr>
    </w:p>
    <w:p w:rsidR="00897C24" w:rsidRPr="00396578" w:rsidRDefault="00897C24" w:rsidP="00897C24">
      <w:r>
        <w:t xml:space="preserve">a. Jesus </w:t>
      </w:r>
      <w:r>
        <w:tab/>
      </w:r>
      <w:r>
        <w:tab/>
      </w:r>
      <w:r>
        <w:tab/>
      </w:r>
      <w:r w:rsidRPr="00396578">
        <w:tab/>
        <w:t xml:space="preserve">f. </w:t>
      </w:r>
      <w:r w:rsidR="0018435D">
        <w:t>Martha</w:t>
      </w:r>
      <w:r w:rsidRPr="00396578">
        <w:t xml:space="preserve"> </w:t>
      </w:r>
      <w:r w:rsidRPr="00396578">
        <w:tab/>
      </w:r>
      <w:r w:rsidRPr="00396578">
        <w:tab/>
      </w:r>
      <w:r>
        <w:tab/>
      </w:r>
      <w:r w:rsidRPr="00396578">
        <w:t>k.  Mary</w:t>
      </w:r>
      <w:r>
        <w:t xml:space="preserve"> (mother of Jesus)</w:t>
      </w:r>
    </w:p>
    <w:p w:rsidR="00897C24" w:rsidRPr="00396578" w:rsidRDefault="00897C24" w:rsidP="00897C24">
      <w:pPr>
        <w:rPr>
          <w:sz w:val="22"/>
        </w:rPr>
      </w:pPr>
      <w:r w:rsidRPr="00396578">
        <w:t xml:space="preserve">b. Peter </w:t>
      </w:r>
      <w:r w:rsidRPr="00396578">
        <w:tab/>
      </w:r>
      <w:r w:rsidRPr="00396578">
        <w:tab/>
      </w:r>
      <w:r w:rsidRPr="00396578">
        <w:tab/>
      </w:r>
      <w:r w:rsidRPr="00396578">
        <w:tab/>
        <w:t xml:space="preserve">g. </w:t>
      </w:r>
      <w:r w:rsidR="0018435D">
        <w:t>Nicodemus</w:t>
      </w:r>
      <w:r w:rsidRPr="00396578">
        <w:tab/>
      </w:r>
      <w:r w:rsidRPr="00396578">
        <w:tab/>
      </w:r>
      <w:r>
        <w:tab/>
        <w:t xml:space="preserve">l.   </w:t>
      </w:r>
      <w:r w:rsidR="0018435D">
        <w:t>Thomas</w:t>
      </w:r>
    </w:p>
    <w:p w:rsidR="00897C24" w:rsidRPr="00396578" w:rsidRDefault="00897C24" w:rsidP="00897C24">
      <w:r w:rsidRPr="00396578">
        <w:t xml:space="preserve">c. Narrator </w:t>
      </w:r>
      <w:r w:rsidRPr="00396578">
        <w:rPr>
          <w:sz w:val="18"/>
        </w:rPr>
        <w:t xml:space="preserve">(John/Holy Spirit) </w:t>
      </w:r>
      <w:r w:rsidRPr="00396578">
        <w:tab/>
      </w:r>
      <w:r w:rsidRPr="00396578">
        <w:tab/>
        <w:t xml:space="preserve">h. </w:t>
      </w:r>
      <w:r w:rsidRPr="00396578">
        <w:rPr>
          <w:sz w:val="22"/>
        </w:rPr>
        <w:t>Adulterous woman</w:t>
      </w:r>
      <w:r w:rsidR="0018435D">
        <w:tab/>
      </w:r>
      <w:r w:rsidR="0018435D">
        <w:tab/>
        <w:t>m. the Jews (hearers)</w:t>
      </w:r>
    </w:p>
    <w:p w:rsidR="00897C24" w:rsidRPr="00396578" w:rsidRDefault="00897C24" w:rsidP="00897C24">
      <w:pPr>
        <w:rPr>
          <w:sz w:val="22"/>
        </w:rPr>
      </w:pPr>
      <w:r w:rsidRPr="00396578">
        <w:t xml:space="preserve">d. </w:t>
      </w:r>
      <w:r w:rsidR="0018435D">
        <w:t>Andrew</w:t>
      </w:r>
      <w:r w:rsidRPr="00396578">
        <w:rPr>
          <w:sz w:val="22"/>
        </w:rPr>
        <w:tab/>
      </w:r>
      <w:r w:rsidRPr="00396578">
        <w:rPr>
          <w:sz w:val="22"/>
        </w:rPr>
        <w:tab/>
      </w:r>
      <w:r w:rsidRPr="00396578">
        <w:rPr>
          <w:sz w:val="22"/>
        </w:rPr>
        <w:tab/>
      </w:r>
      <w:r w:rsidRPr="00396578">
        <w:rPr>
          <w:sz w:val="22"/>
        </w:rPr>
        <w:tab/>
      </w:r>
      <w:proofErr w:type="spellStart"/>
      <w:r w:rsidRPr="00396578">
        <w:t>i</w:t>
      </w:r>
      <w:proofErr w:type="spellEnd"/>
      <w:r w:rsidRPr="00396578">
        <w:t>. John the Baptist</w:t>
      </w:r>
      <w:r w:rsidRPr="00396578">
        <w:rPr>
          <w:sz w:val="22"/>
        </w:rPr>
        <w:tab/>
      </w:r>
      <w:r w:rsidRPr="00396578">
        <w:rPr>
          <w:sz w:val="22"/>
        </w:rPr>
        <w:tab/>
      </w:r>
      <w:r w:rsidR="0018435D">
        <w:rPr>
          <w:sz w:val="22"/>
        </w:rPr>
        <w:t>n. Man born blind</w:t>
      </w:r>
      <w:bookmarkStart w:id="0" w:name="_GoBack"/>
      <w:bookmarkEnd w:id="0"/>
      <w:r w:rsidR="0018435D">
        <w:rPr>
          <w:sz w:val="22"/>
        </w:rPr>
        <w:tab/>
      </w:r>
      <w:r w:rsidRPr="00396578">
        <w:rPr>
          <w:sz w:val="22"/>
        </w:rPr>
        <w:tab/>
      </w:r>
    </w:p>
    <w:p w:rsidR="00897C24" w:rsidRPr="00AD1D66" w:rsidRDefault="00897C24" w:rsidP="00897C2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96578">
        <w:t>e. Samaritan Woman</w:t>
      </w:r>
      <w:r w:rsidRPr="00897C24">
        <w:t xml:space="preserve"> </w:t>
      </w:r>
      <w:r>
        <w:tab/>
      </w:r>
      <w:r>
        <w:tab/>
      </w:r>
      <w:r>
        <w:tab/>
      </w:r>
      <w:r w:rsidRPr="00396578">
        <w:t>j.  Pharisees</w:t>
      </w:r>
    </w:p>
    <w:p w:rsidR="00A47628" w:rsidRDefault="00A47628"/>
    <w:p w:rsidR="00F67E3D" w:rsidRDefault="00F67E3D"/>
    <w:p w:rsidR="00F67E3D" w:rsidRDefault="00F67E3D" w:rsidP="00F67E3D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Part III: the Gospel </w:t>
      </w:r>
      <w:r w:rsidR="00A47628">
        <w:rPr>
          <w:rFonts w:ascii="Ringbearer" w:hAnsi="Ringbearer" w:cs="Arial"/>
          <w:sz w:val="20"/>
          <w:szCs w:val="20"/>
        </w:rPr>
        <w:t>of John: Reformed Doctrine of Salvation Summary</w:t>
      </w:r>
    </w:p>
    <w:p w:rsidR="006D12D4" w:rsidRDefault="006D12D4" w:rsidP="006D12D4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6D12D4" w:rsidRPr="00AD1D66" w:rsidRDefault="006D12D4" w:rsidP="006D12D4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</w:p>
    <w:p w:rsidR="006D12D4" w:rsidRDefault="006D12D4" w:rsidP="006D12D4">
      <w:r>
        <w:t>There will be a matching section covering the 5 points of reformed doctrine we studied.  Study the 5 points of Calvinism as we studied them.</w:t>
      </w:r>
    </w:p>
    <w:p w:rsidR="00F67E3D" w:rsidRDefault="00F67E3D"/>
    <w:sectPr w:rsidR="00F6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24"/>
    <w:rsid w:val="0018435D"/>
    <w:rsid w:val="00383DA2"/>
    <w:rsid w:val="0065124F"/>
    <w:rsid w:val="006D12D4"/>
    <w:rsid w:val="00897C24"/>
    <w:rsid w:val="008A5DD1"/>
    <w:rsid w:val="00A47628"/>
    <w:rsid w:val="00F67E3D"/>
    <w:rsid w:val="00F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7C23CF4F.dotm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2015-05-07T19:13:00Z</dcterms:created>
  <dcterms:modified xsi:type="dcterms:W3CDTF">2015-05-07T19:13:00Z</dcterms:modified>
</cp:coreProperties>
</file>